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2FA55798"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00EE7E25">
        <w:rPr>
          <w:rFonts w:ascii="Arial" w:hAnsi="Arial"/>
          <w:b/>
          <w:sz w:val="24"/>
          <w:szCs w:val="24"/>
        </w:rPr>
        <w:t>bis</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67508B">
        <w:rPr>
          <w:rFonts w:ascii="Arial" w:hAnsi="Arial"/>
          <w:b/>
          <w:sz w:val="24"/>
          <w:szCs w:val="24"/>
        </w:rPr>
        <w:t>4552</w:t>
      </w:r>
    </w:p>
    <w:p w14:paraId="5D43EEDF" w14:textId="467D92C8" w:rsidR="00BD0D23" w:rsidRPr="00B64708" w:rsidRDefault="00EE7E25"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2A35E6">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2F7F896"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7558F7">
        <w:rPr>
          <w:rFonts w:ascii="Arial" w:hAnsi="Arial" w:cs="Arial"/>
          <w:sz w:val="24"/>
          <w:szCs w:val="22"/>
        </w:rPr>
        <w:t>7.29.2.2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01C281A"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75443">
        <w:rPr>
          <w:rFonts w:ascii="Arial" w:hAnsi="Arial" w:cs="Arial"/>
          <w:sz w:val="24"/>
          <w:lang w:val="en-US" w:eastAsia="ja-JP"/>
        </w:rPr>
        <w:t xml:space="preserve">NR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63B7AE3B" w:rsidR="00BE63E2" w:rsidRDefault="00B75443" w:rsidP="00833CE7">
      <w:pPr>
        <w:spacing w:after="120"/>
        <w:jc w:val="both"/>
      </w:pPr>
      <w:r>
        <w:t xml:space="preserve">NR NTN </w:t>
      </w:r>
      <w:r w:rsidR="00893C2B">
        <w:t xml:space="preserve">UL capacity enhancement work is on-going in RAN1. </w:t>
      </w:r>
      <w:r w:rsidR="006F3C4B">
        <w:t>RAN4 has had initial discussion on whether any specified scheme results in RAN4 specification impact. 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63948745" w:rsidR="008E3F34" w:rsidRDefault="00D63F7F" w:rsidP="008E3F34">
      <w:pPr>
        <w:spacing w:after="120"/>
        <w:rPr>
          <w:bCs/>
        </w:rPr>
      </w:pPr>
      <w:r w:rsidRPr="00D63F7F">
        <w:rPr>
          <w:bCs/>
          <w:noProof/>
        </w:rPr>
        <mc:AlternateContent>
          <mc:Choice Requires="wps">
            <w:drawing>
              <wp:anchor distT="45720" distB="45720" distL="114300" distR="114300" simplePos="0" relativeHeight="251659264" behindDoc="0" locked="0" layoutInCell="1" allowOverlap="1" wp14:anchorId="1EA3E121" wp14:editId="6F6594CD">
                <wp:simplePos x="0" y="0"/>
                <wp:positionH relativeFrom="margin">
                  <wp:align>left</wp:align>
                </wp:positionH>
                <wp:positionV relativeFrom="paragraph">
                  <wp:posOffset>552450</wp:posOffset>
                </wp:positionV>
                <wp:extent cx="6127750" cy="2736215"/>
                <wp:effectExtent l="0" t="0" r="2540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736376"/>
                        </a:xfrm>
                        <a:prstGeom prst="rect">
                          <a:avLst/>
                        </a:prstGeom>
                        <a:solidFill>
                          <a:srgbClr val="FFFFFF"/>
                        </a:solidFill>
                        <a:ln w="9525">
                          <a:solidFill>
                            <a:srgbClr val="000000"/>
                          </a:solidFill>
                          <a:miter lim="800000"/>
                          <a:headEnd/>
                          <a:tailEnd/>
                        </a:ln>
                      </wps:spPr>
                      <wps:txbx>
                        <w:txbxContent>
                          <w:p w14:paraId="58B9130E"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highlight w:val="green"/>
                                <w:lang w:eastAsia="en-US"/>
                              </w:rPr>
                              <w:t>Agreement</w:t>
                            </w:r>
                          </w:p>
                          <w:p w14:paraId="4F1CEFF4"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lang w:eastAsia="en-US"/>
                              </w:rPr>
                              <w:t>RAN1 to confirm the working assumption of RAN1#118bis with revisions as follows:</w:t>
                            </w:r>
                          </w:p>
                          <w:p w14:paraId="242E44C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OCC length 2 with inter-slot OCC to multiplex up to 2 UEs.</w:t>
                            </w:r>
                          </w:p>
                          <w:p w14:paraId="1E103CD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Option 1: inter-slot OCC with OCC length 4 to multiplex up to 4 UEs using Hadamard sequences</w:t>
                            </w:r>
                          </w:p>
                          <w:p w14:paraId="6FF9C0D7" w14:textId="77777777" w:rsidR="006C5A08" w:rsidRPr="00AA3001" w:rsidRDefault="006C5A08" w:rsidP="006C5A08">
                            <w:pPr>
                              <w:numPr>
                                <w:ilvl w:val="0"/>
                                <w:numId w:val="18"/>
                              </w:numPr>
                              <w:spacing w:after="0"/>
                              <w:ind w:left="1267"/>
                              <w:contextualSpacing/>
                              <w:rPr>
                                <w:rFonts w:eastAsia="Times New Roman"/>
                                <w:sz w:val="18"/>
                                <w:szCs w:val="24"/>
                                <w:lang w:val="en-US" w:eastAsia="en-US"/>
                              </w:rPr>
                            </w:pPr>
                            <w:r w:rsidRPr="00AA3001">
                              <w:rPr>
                                <w:rFonts w:ascii="Times" w:eastAsia="Batang" w:hAnsi="Times" w:cs="Times"/>
                                <w:color w:val="13161E"/>
                                <w:kern w:val="24"/>
                                <w:sz w:val="18"/>
                                <w:szCs w:val="18"/>
                                <w:lang w:eastAsia="en-US"/>
                              </w:rPr>
                              <w:t>RAN1 does not pursue Option 2: Intra-symbol pre-DFT OCC with OCC length 4 to multiplex up to 4 UEs.</w:t>
                            </w:r>
                          </w:p>
                          <w:p w14:paraId="5B67EAAB" w14:textId="77777777" w:rsidR="006C5A08" w:rsidRPr="00AA3001" w:rsidRDefault="006C5A08" w:rsidP="006C5A08">
                            <w:pPr>
                              <w:numPr>
                                <w:ilvl w:val="0"/>
                                <w:numId w:val="18"/>
                              </w:numPr>
                              <w:spacing w:after="0"/>
                              <w:ind w:left="1267"/>
                              <w:contextualSpacing/>
                              <w:rPr>
                                <w:rFonts w:eastAsia="Times New Roman"/>
                                <w:sz w:val="18"/>
                                <w:szCs w:val="24"/>
                                <w:lang w:val="en-US" w:eastAsia="en-US"/>
                              </w:rPr>
                            </w:pPr>
                            <w:r w:rsidRPr="00AA3001">
                              <w:rPr>
                                <w:rFonts w:ascii="Times" w:eastAsia="Batang" w:hAnsi="Times" w:cs="Times"/>
                                <w:color w:val="13161E"/>
                                <w:kern w:val="24"/>
                                <w:sz w:val="18"/>
                                <w:szCs w:val="18"/>
                                <w:lang w:eastAsia="en-US"/>
                              </w:rPr>
                              <w:t>RAN1 does not pursue Option 3: Combination of Inter-slot OCC with OCC length 2 and intra-symbol pre-DFT OCC with OCC length 2 to multiplex up to 4 UEs.</w:t>
                            </w:r>
                          </w:p>
                          <w:p w14:paraId="3CA297FC" w14:textId="77777777" w:rsidR="006C5A08" w:rsidRPr="006C5A08" w:rsidRDefault="006C5A08" w:rsidP="006C5A08">
                            <w:pPr>
                              <w:tabs>
                                <w:tab w:val="left" w:pos="720"/>
                                <w:tab w:val="left" w:pos="1701"/>
                              </w:tabs>
                              <w:spacing w:after="160" w:line="256" w:lineRule="auto"/>
                              <w:rPr>
                                <w:rFonts w:eastAsia="Times New Roman"/>
                                <w:sz w:val="24"/>
                                <w:szCs w:val="24"/>
                                <w:lang w:val="en-US" w:eastAsia="en-US"/>
                              </w:rPr>
                            </w:pPr>
                            <w:r w:rsidRPr="006C5A08">
                              <w:rPr>
                                <w:rFonts w:ascii="Times" w:eastAsia="Calibri" w:hAnsi="Times" w:cs="+mn-cs"/>
                                <w:color w:val="13161E"/>
                                <w:kern w:val="24"/>
                                <w:sz w:val="18"/>
                                <w:szCs w:val="18"/>
                                <w:lang w:val="en-US" w:eastAsia="en-US"/>
                              </w:rPr>
                              <w:t>Note 1: there will be separate UE capabilities for OCC length 2 and OCC length 4, where UE capability for OCC length 2 is a prerequisite for UE capability for OCC length 4.</w:t>
                            </w:r>
                          </w:p>
                          <w:p w14:paraId="44AD6DAC" w14:textId="77777777" w:rsidR="006C5A08" w:rsidRPr="00C64261" w:rsidRDefault="006C5A08" w:rsidP="006C5A08">
                            <w:pPr>
                              <w:spacing w:after="0"/>
                              <w:rPr>
                                <w:rFonts w:eastAsia="Times New Roman"/>
                                <w:sz w:val="24"/>
                                <w:szCs w:val="24"/>
                                <w:highlight w:val="yellow"/>
                                <w:lang w:val="en-US" w:eastAsia="en-US"/>
                              </w:rPr>
                            </w:pPr>
                            <w:r w:rsidRPr="00C64261">
                              <w:rPr>
                                <w:rFonts w:ascii="Times" w:eastAsia="Batang" w:hAnsi="Times" w:cs="Times"/>
                                <w:color w:val="13161E"/>
                                <w:kern w:val="24"/>
                                <w:sz w:val="18"/>
                                <w:szCs w:val="18"/>
                                <w:highlight w:val="yellow"/>
                                <w:lang w:val="en-US" w:eastAsia="en-US"/>
                              </w:rPr>
                              <w:t xml:space="preserve">Note 2: </w:t>
                            </w:r>
                            <w:proofErr w:type="spellStart"/>
                            <w:r w:rsidRPr="00C64261">
                              <w:rPr>
                                <w:rFonts w:ascii="Times" w:eastAsia="SimSun" w:hAnsi="Times" w:cs="Times"/>
                                <w:color w:val="13161E"/>
                                <w:kern w:val="24"/>
                                <w:sz w:val="18"/>
                                <w:szCs w:val="18"/>
                                <w:highlight w:val="yellow"/>
                                <w:lang w:eastAsia="en-US"/>
                              </w:rPr>
                              <w:t>gNB</w:t>
                            </w:r>
                            <w:proofErr w:type="spellEnd"/>
                            <w:r w:rsidRPr="00C64261">
                              <w:rPr>
                                <w:rFonts w:ascii="Times" w:eastAsia="SimSun" w:hAnsi="Times" w:cs="Times"/>
                                <w:color w:val="13161E"/>
                                <w:kern w:val="24"/>
                                <w:sz w:val="18"/>
                                <w:szCs w:val="18"/>
                                <w:highlight w:val="yellow"/>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sidRPr="00C64261">
                              <w:rPr>
                                <w:rFonts w:ascii="Times" w:eastAsia="Batang" w:hAnsi="Times" w:cs="Times"/>
                                <w:color w:val="13161E"/>
                                <w:kern w:val="24"/>
                                <w:sz w:val="18"/>
                                <w:szCs w:val="18"/>
                                <w:highlight w:val="yellow"/>
                                <w:lang w:eastAsia="en-US"/>
                              </w:rPr>
                              <w:t xml:space="preserve"> by at least 1 dB in several cases</w:t>
                            </w:r>
                            <w:r w:rsidRPr="00C64261">
                              <w:rPr>
                                <w:rFonts w:ascii="Times" w:eastAsia="SimSun" w:hAnsi="Times" w:cs="Times"/>
                                <w:color w:val="13161E"/>
                                <w:kern w:val="24"/>
                                <w:sz w:val="18"/>
                                <w:szCs w:val="18"/>
                                <w:highlight w:val="yellow"/>
                                <w:lang w:eastAsia="en-US"/>
                              </w:rPr>
                              <w:t>. For CFO grouping, several companies in RAN1 state that CFO grouping is feasible based on network implementation without any new specification impact.</w:t>
                            </w:r>
                          </w:p>
                          <w:p w14:paraId="4C553221" w14:textId="77777777" w:rsidR="006C5A08" w:rsidRPr="00C64261" w:rsidRDefault="006C5A08" w:rsidP="006C5A08">
                            <w:pPr>
                              <w:numPr>
                                <w:ilvl w:val="0"/>
                                <w:numId w:val="19"/>
                              </w:numPr>
                              <w:spacing w:after="0"/>
                              <w:ind w:left="1267"/>
                              <w:contextualSpacing/>
                              <w:rPr>
                                <w:rFonts w:eastAsia="Times New Roman"/>
                                <w:sz w:val="18"/>
                                <w:szCs w:val="24"/>
                                <w:highlight w:val="yellow"/>
                                <w:lang w:val="en-US" w:eastAsia="en-US"/>
                              </w:rPr>
                            </w:pPr>
                            <w:r w:rsidRPr="00C64261">
                              <w:rPr>
                                <w:rFonts w:ascii="Times" w:eastAsia="SimSun" w:hAnsi="Times" w:cs="Times"/>
                                <w:color w:val="13161E"/>
                                <w:kern w:val="24"/>
                                <w:sz w:val="18"/>
                                <w:szCs w:val="18"/>
                                <w:highlight w:val="yellow"/>
                                <w:lang w:eastAsia="en-US"/>
                              </w:rPr>
                              <w:t>RAN1 assumes no specification impact for CFO grouping</w:t>
                            </w:r>
                          </w:p>
                          <w:p w14:paraId="7B71033C" w14:textId="77777777" w:rsidR="006C5A08" w:rsidRPr="00C64261" w:rsidRDefault="006C5A08" w:rsidP="006C5A08">
                            <w:pPr>
                              <w:numPr>
                                <w:ilvl w:val="0"/>
                                <w:numId w:val="19"/>
                              </w:numPr>
                              <w:spacing w:after="0"/>
                              <w:ind w:left="1267"/>
                              <w:contextualSpacing/>
                              <w:rPr>
                                <w:rFonts w:eastAsia="Times New Roman"/>
                                <w:sz w:val="18"/>
                                <w:szCs w:val="24"/>
                                <w:highlight w:val="yellow"/>
                                <w:lang w:val="en-US" w:eastAsia="en-US"/>
                              </w:rPr>
                            </w:pPr>
                            <w:r w:rsidRPr="00C64261">
                              <w:rPr>
                                <w:rFonts w:ascii="Times" w:eastAsia="SimSun" w:hAnsi="Times" w:cs="Times"/>
                                <w:color w:val="13161E"/>
                                <w:kern w:val="24"/>
                                <w:sz w:val="18"/>
                                <w:szCs w:val="18"/>
                                <w:highlight w:val="yellow"/>
                                <w:lang w:eastAsia="en-US"/>
                              </w:rPr>
                              <w:t>RAN1 does not pursue closed-loop frequency adjustment commands.</w:t>
                            </w:r>
                          </w:p>
                          <w:p w14:paraId="3996208A" w14:textId="77777777" w:rsidR="006C5A08" w:rsidRPr="00C64261" w:rsidRDefault="006C5A08" w:rsidP="006C5A08">
                            <w:pPr>
                              <w:numPr>
                                <w:ilvl w:val="0"/>
                                <w:numId w:val="19"/>
                              </w:numPr>
                              <w:spacing w:after="0"/>
                              <w:ind w:left="1267"/>
                              <w:contextualSpacing/>
                              <w:rPr>
                                <w:rFonts w:eastAsia="Times New Roman"/>
                                <w:sz w:val="18"/>
                                <w:szCs w:val="24"/>
                                <w:highlight w:val="yellow"/>
                                <w:lang w:val="en-US" w:eastAsia="en-US"/>
                              </w:rPr>
                            </w:pPr>
                            <w:r w:rsidRPr="00C64261">
                              <w:rPr>
                                <w:rFonts w:ascii="Times" w:eastAsia="SimSun" w:hAnsi="Times" w:cs="Times"/>
                                <w:color w:val="13161E"/>
                                <w:kern w:val="24"/>
                                <w:sz w:val="18"/>
                                <w:szCs w:val="18"/>
                                <w:highlight w:val="yellow"/>
                                <w:lang w:eastAsia="en-US"/>
                              </w:rPr>
                              <w:t>RAN1 assumes that RAN4 does not define new UE requirements for CFO.</w:t>
                            </w:r>
                          </w:p>
                          <w:p w14:paraId="59720BAF" w14:textId="2C356CF2" w:rsidR="00D63F7F" w:rsidRPr="006C5A08" w:rsidRDefault="00D63F7F">
                            <w:pPr>
                              <w:rPr>
                                <w:sz w:val="10"/>
                                <w:szCs w:val="1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3E121" id="_x0000_t202" coordsize="21600,21600" o:spt="202" path="m,l,21600r21600,l21600,xe">
                <v:stroke joinstyle="miter"/>
                <v:path gradientshapeok="t" o:connecttype="rect"/>
              </v:shapetype>
              <v:shape id="Text Box 2" o:spid="_x0000_s1026" type="#_x0000_t202" style="position:absolute;margin-left:0;margin-top:43.5pt;width:482.5pt;height:215.4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">
                <v:textbox>
                  <w:txbxContent>
                    <w:p w14:paraId="58B9130E"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highlight w:val="green"/>
                          <w:lang w:eastAsia="en-US"/>
                        </w:rPr>
                        <w:t>Agreement</w:t>
                      </w:r>
                    </w:p>
                    <w:p w14:paraId="4F1CEFF4" w14:textId="77777777" w:rsidR="006C5A08" w:rsidRPr="006C5A08" w:rsidRDefault="006C5A08" w:rsidP="006C5A08">
                      <w:pPr>
                        <w:spacing w:after="0"/>
                        <w:rPr>
                          <w:rFonts w:eastAsia="Times New Roman"/>
                          <w:sz w:val="24"/>
                          <w:szCs w:val="24"/>
                          <w:lang w:val="en-US" w:eastAsia="en-US"/>
                        </w:rPr>
                      </w:pPr>
                      <w:r w:rsidRPr="006C5A08">
                        <w:rPr>
                          <w:rFonts w:ascii="Times" w:eastAsia="Batang" w:hAnsi="Times" w:cs="Times"/>
                          <w:color w:val="13161E"/>
                          <w:kern w:val="24"/>
                          <w:sz w:val="18"/>
                          <w:szCs w:val="18"/>
                          <w:lang w:eastAsia="en-US"/>
                        </w:rPr>
                        <w:t>RAN1 to confirm the working assumption of RAN1#118bis with revisions as follows:</w:t>
                      </w:r>
                    </w:p>
                    <w:p w14:paraId="242E44C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OCC length 2 with inter-slot OCC to multiplex up to 2 UEs.</w:t>
                      </w:r>
                    </w:p>
                    <w:p w14:paraId="1E103CD0" w14:textId="77777777" w:rsidR="006C5A08" w:rsidRPr="006C5A08" w:rsidRDefault="006C5A08" w:rsidP="006C5A08">
                      <w:pPr>
                        <w:numPr>
                          <w:ilvl w:val="0"/>
                          <w:numId w:val="18"/>
                        </w:numPr>
                        <w:spacing w:after="0"/>
                        <w:ind w:left="1267"/>
                        <w:contextualSpacing/>
                        <w:rPr>
                          <w:rFonts w:eastAsia="Times New Roman"/>
                          <w:sz w:val="18"/>
                          <w:szCs w:val="24"/>
                          <w:lang w:val="en-US" w:eastAsia="en-US"/>
                        </w:rPr>
                      </w:pPr>
                      <w:r w:rsidRPr="006C5A08">
                        <w:rPr>
                          <w:rFonts w:ascii="Times" w:eastAsia="Batang" w:hAnsi="Times" w:cs="Times"/>
                          <w:color w:val="13161E"/>
                          <w:kern w:val="24"/>
                          <w:sz w:val="18"/>
                          <w:szCs w:val="18"/>
                          <w:lang w:eastAsia="en-US"/>
                        </w:rPr>
                        <w:t>Support Option 1: inter-slot OCC with OCC length 4 to multiplex up to 4 UEs using Hadamard sequences</w:t>
                      </w:r>
                    </w:p>
                    <w:p w14:paraId="6FF9C0D7" w14:textId="77777777" w:rsidR="006C5A08" w:rsidRPr="00AA3001" w:rsidRDefault="006C5A08" w:rsidP="006C5A08">
                      <w:pPr>
                        <w:numPr>
                          <w:ilvl w:val="0"/>
                          <w:numId w:val="18"/>
                        </w:numPr>
                        <w:spacing w:after="0"/>
                        <w:ind w:left="1267"/>
                        <w:contextualSpacing/>
                        <w:rPr>
                          <w:rFonts w:eastAsia="Times New Roman"/>
                          <w:sz w:val="18"/>
                          <w:szCs w:val="24"/>
                          <w:lang w:val="en-US" w:eastAsia="en-US"/>
                        </w:rPr>
                      </w:pPr>
                      <w:r w:rsidRPr="00AA3001">
                        <w:rPr>
                          <w:rFonts w:ascii="Times" w:eastAsia="Batang" w:hAnsi="Times" w:cs="Times"/>
                          <w:color w:val="13161E"/>
                          <w:kern w:val="24"/>
                          <w:sz w:val="18"/>
                          <w:szCs w:val="18"/>
                          <w:lang w:eastAsia="en-US"/>
                        </w:rPr>
                        <w:t>RAN1 does not pursue Option 2: Intra-symbol pre-DFT OCC with OCC length 4 to multiplex up to 4 UEs.</w:t>
                      </w:r>
                    </w:p>
                    <w:p w14:paraId="5B67EAAB" w14:textId="77777777" w:rsidR="006C5A08" w:rsidRPr="00AA3001" w:rsidRDefault="006C5A08" w:rsidP="006C5A08">
                      <w:pPr>
                        <w:numPr>
                          <w:ilvl w:val="0"/>
                          <w:numId w:val="18"/>
                        </w:numPr>
                        <w:spacing w:after="0"/>
                        <w:ind w:left="1267"/>
                        <w:contextualSpacing/>
                        <w:rPr>
                          <w:rFonts w:eastAsia="Times New Roman"/>
                          <w:sz w:val="18"/>
                          <w:szCs w:val="24"/>
                          <w:lang w:val="en-US" w:eastAsia="en-US"/>
                        </w:rPr>
                      </w:pPr>
                      <w:r w:rsidRPr="00AA3001">
                        <w:rPr>
                          <w:rFonts w:ascii="Times" w:eastAsia="Batang" w:hAnsi="Times" w:cs="Times"/>
                          <w:color w:val="13161E"/>
                          <w:kern w:val="24"/>
                          <w:sz w:val="18"/>
                          <w:szCs w:val="18"/>
                          <w:lang w:eastAsia="en-US"/>
                        </w:rPr>
                        <w:t>RAN1 does not pursue Option 3: Combination of Inter-slot OCC with OCC length 2 and intra-symbol pre-DFT OCC with OCC length 2 to multiplex up to 4 UEs.</w:t>
                      </w:r>
                    </w:p>
                    <w:p w14:paraId="3CA297FC" w14:textId="77777777" w:rsidR="006C5A08" w:rsidRPr="006C5A08" w:rsidRDefault="006C5A08" w:rsidP="006C5A08">
                      <w:pPr>
                        <w:tabs>
                          <w:tab w:val="left" w:pos="720"/>
                          <w:tab w:val="left" w:pos="1701"/>
                        </w:tabs>
                        <w:spacing w:after="160" w:line="256" w:lineRule="auto"/>
                        <w:rPr>
                          <w:rFonts w:eastAsia="Times New Roman"/>
                          <w:sz w:val="24"/>
                          <w:szCs w:val="24"/>
                          <w:lang w:val="en-US" w:eastAsia="en-US"/>
                        </w:rPr>
                      </w:pPr>
                      <w:r w:rsidRPr="006C5A08">
                        <w:rPr>
                          <w:rFonts w:ascii="Times" w:eastAsia="Calibri" w:hAnsi="Times" w:cs="+mn-cs"/>
                          <w:color w:val="13161E"/>
                          <w:kern w:val="24"/>
                          <w:sz w:val="18"/>
                          <w:szCs w:val="18"/>
                          <w:lang w:val="en-US" w:eastAsia="en-US"/>
                        </w:rPr>
                        <w:t>Note 1: there will be separate UE capabilities for OCC length 2 and OCC length 4, where UE capability for OCC length 2 is a prerequisite for UE capability for OCC length 4.</w:t>
                      </w:r>
                    </w:p>
                    <w:p w14:paraId="44AD6DAC" w14:textId="77777777" w:rsidR="006C5A08" w:rsidRPr="00C64261" w:rsidRDefault="006C5A08" w:rsidP="006C5A08">
                      <w:pPr>
                        <w:spacing w:after="0"/>
                        <w:rPr>
                          <w:rFonts w:eastAsia="Times New Roman"/>
                          <w:sz w:val="24"/>
                          <w:szCs w:val="24"/>
                          <w:highlight w:val="yellow"/>
                          <w:lang w:val="en-US" w:eastAsia="en-US"/>
                        </w:rPr>
                      </w:pPr>
                      <w:r w:rsidRPr="00C64261">
                        <w:rPr>
                          <w:rFonts w:ascii="Times" w:eastAsia="Batang" w:hAnsi="Times" w:cs="Times"/>
                          <w:color w:val="13161E"/>
                          <w:kern w:val="24"/>
                          <w:sz w:val="18"/>
                          <w:szCs w:val="18"/>
                          <w:highlight w:val="yellow"/>
                          <w:lang w:val="en-US" w:eastAsia="en-US"/>
                        </w:rPr>
                        <w:t xml:space="preserve">Note 2: </w:t>
                      </w:r>
                      <w:r w:rsidRPr="00C64261">
                        <w:rPr>
                          <w:rFonts w:ascii="Times" w:eastAsia="SimSun" w:hAnsi="Times" w:cs="Times"/>
                          <w:color w:val="13161E"/>
                          <w:kern w:val="24"/>
                          <w:sz w:val="18"/>
                          <w:szCs w:val="18"/>
                          <w:highlight w:val="yellow"/>
                          <w:lang w:eastAsia="en-US"/>
                        </w:rPr>
                        <w:t>gNB can ensure the performance of Option 1 by UE grouping with similar CFO (e.g. maximum differential CFO of 50 or 100 Hz or 200 Hz). Without CFO grouping (e.g. maximum differential CFO of 400 Hz), the performance of option 1 is degraded</w:t>
                      </w:r>
                      <w:r w:rsidRPr="00C64261">
                        <w:rPr>
                          <w:rFonts w:ascii="Times" w:eastAsia="Batang" w:hAnsi="Times" w:cs="Times"/>
                          <w:color w:val="13161E"/>
                          <w:kern w:val="24"/>
                          <w:sz w:val="18"/>
                          <w:szCs w:val="18"/>
                          <w:highlight w:val="yellow"/>
                          <w:lang w:eastAsia="en-US"/>
                        </w:rPr>
                        <w:t xml:space="preserve"> by at least 1 dB in several cases</w:t>
                      </w:r>
                      <w:r w:rsidRPr="00C64261">
                        <w:rPr>
                          <w:rFonts w:ascii="Times" w:eastAsia="SimSun" w:hAnsi="Times" w:cs="Times"/>
                          <w:color w:val="13161E"/>
                          <w:kern w:val="24"/>
                          <w:sz w:val="18"/>
                          <w:szCs w:val="18"/>
                          <w:highlight w:val="yellow"/>
                          <w:lang w:eastAsia="en-US"/>
                        </w:rPr>
                        <w:t>. For CFO grouping, several companies in RAN1 state that CFO grouping is feasible based on network implementation without any new specification impact.</w:t>
                      </w:r>
                    </w:p>
                    <w:p w14:paraId="4C553221" w14:textId="77777777" w:rsidR="006C5A08" w:rsidRPr="00C64261" w:rsidRDefault="006C5A08" w:rsidP="006C5A08">
                      <w:pPr>
                        <w:numPr>
                          <w:ilvl w:val="0"/>
                          <w:numId w:val="19"/>
                        </w:numPr>
                        <w:spacing w:after="0"/>
                        <w:ind w:left="1267"/>
                        <w:contextualSpacing/>
                        <w:rPr>
                          <w:rFonts w:eastAsia="Times New Roman"/>
                          <w:sz w:val="18"/>
                          <w:szCs w:val="24"/>
                          <w:highlight w:val="yellow"/>
                          <w:lang w:val="en-US" w:eastAsia="en-US"/>
                        </w:rPr>
                      </w:pPr>
                      <w:r w:rsidRPr="00C64261">
                        <w:rPr>
                          <w:rFonts w:ascii="Times" w:eastAsia="SimSun" w:hAnsi="Times" w:cs="Times"/>
                          <w:color w:val="13161E"/>
                          <w:kern w:val="24"/>
                          <w:sz w:val="18"/>
                          <w:szCs w:val="18"/>
                          <w:highlight w:val="yellow"/>
                          <w:lang w:eastAsia="en-US"/>
                        </w:rPr>
                        <w:t>RAN1 assumes no specification impact for CFO grouping</w:t>
                      </w:r>
                    </w:p>
                    <w:p w14:paraId="7B71033C" w14:textId="77777777" w:rsidR="006C5A08" w:rsidRPr="00C64261" w:rsidRDefault="006C5A08" w:rsidP="006C5A08">
                      <w:pPr>
                        <w:numPr>
                          <w:ilvl w:val="0"/>
                          <w:numId w:val="19"/>
                        </w:numPr>
                        <w:spacing w:after="0"/>
                        <w:ind w:left="1267"/>
                        <w:contextualSpacing/>
                        <w:rPr>
                          <w:rFonts w:eastAsia="Times New Roman"/>
                          <w:sz w:val="18"/>
                          <w:szCs w:val="24"/>
                          <w:highlight w:val="yellow"/>
                          <w:lang w:val="en-US" w:eastAsia="en-US"/>
                        </w:rPr>
                      </w:pPr>
                      <w:r w:rsidRPr="00C64261">
                        <w:rPr>
                          <w:rFonts w:ascii="Times" w:eastAsia="SimSun" w:hAnsi="Times" w:cs="Times"/>
                          <w:color w:val="13161E"/>
                          <w:kern w:val="24"/>
                          <w:sz w:val="18"/>
                          <w:szCs w:val="18"/>
                          <w:highlight w:val="yellow"/>
                          <w:lang w:eastAsia="en-US"/>
                        </w:rPr>
                        <w:t>RAN1 does not pursue closed-loop frequency adjustment commands.</w:t>
                      </w:r>
                    </w:p>
                    <w:p w14:paraId="3996208A" w14:textId="77777777" w:rsidR="006C5A08" w:rsidRPr="00C64261" w:rsidRDefault="006C5A08" w:rsidP="006C5A08">
                      <w:pPr>
                        <w:numPr>
                          <w:ilvl w:val="0"/>
                          <w:numId w:val="19"/>
                        </w:numPr>
                        <w:spacing w:after="0"/>
                        <w:ind w:left="1267"/>
                        <w:contextualSpacing/>
                        <w:rPr>
                          <w:rFonts w:eastAsia="Times New Roman"/>
                          <w:sz w:val="18"/>
                          <w:szCs w:val="24"/>
                          <w:highlight w:val="yellow"/>
                          <w:lang w:val="en-US" w:eastAsia="en-US"/>
                        </w:rPr>
                      </w:pPr>
                      <w:r w:rsidRPr="00C64261">
                        <w:rPr>
                          <w:rFonts w:ascii="Times" w:eastAsia="SimSun" w:hAnsi="Times" w:cs="Times"/>
                          <w:color w:val="13161E"/>
                          <w:kern w:val="24"/>
                          <w:sz w:val="18"/>
                          <w:szCs w:val="18"/>
                          <w:highlight w:val="yellow"/>
                          <w:lang w:eastAsia="en-US"/>
                        </w:rPr>
                        <w:t>RAN1 assumes that RAN4 does not define new UE requirements for CFO.</w:t>
                      </w:r>
                    </w:p>
                    <w:p w14:paraId="59720BAF" w14:textId="2C356CF2" w:rsidR="00D63F7F" w:rsidRPr="006C5A08" w:rsidRDefault="00D63F7F">
                      <w:pPr>
                        <w:rPr>
                          <w:sz w:val="10"/>
                          <w:szCs w:val="10"/>
                          <w:lang w:val="en-US"/>
                        </w:rPr>
                      </w:pPr>
                    </w:p>
                  </w:txbxContent>
                </v:textbox>
                <w10:wrap type="square" anchorx="margin"/>
              </v:shape>
            </w:pict>
          </mc:Fallback>
        </mc:AlternateContent>
      </w:r>
      <w:r w:rsidR="00B97B7D">
        <w:rPr>
          <w:bCs/>
        </w:rPr>
        <w:t xml:space="preserve">In RAN4#113 </w:t>
      </w:r>
      <w:r w:rsidR="00D71EDC">
        <w:rPr>
          <w:bCs/>
        </w:rPr>
        <w:t>it was agreed that there is no specification impact from inter-slot OCC over 2 slots.</w:t>
      </w:r>
      <w:r w:rsidR="00196114">
        <w:rPr>
          <w:bCs/>
        </w:rPr>
        <w:t xml:space="preserve"> </w:t>
      </w:r>
      <w:r w:rsidR="00016330">
        <w:rPr>
          <w:bCs/>
        </w:rPr>
        <w:t>In RAN1#11</w:t>
      </w:r>
      <w:r w:rsidR="006C5A08">
        <w:rPr>
          <w:bCs/>
        </w:rPr>
        <w:t>9 in November following agreement was reached</w:t>
      </w:r>
      <w:r w:rsidR="00C75BC9">
        <w:rPr>
          <w:bCs/>
        </w:rPr>
        <w:t xml:space="preserve"> (yellow highlights added only for this document).</w:t>
      </w:r>
    </w:p>
    <w:p w14:paraId="7BA261A4" w14:textId="46345C18" w:rsidR="00C64261" w:rsidRDefault="00C64261" w:rsidP="008E3F34">
      <w:pPr>
        <w:spacing w:after="120"/>
        <w:rPr>
          <w:bCs/>
        </w:rPr>
      </w:pPr>
    </w:p>
    <w:p w14:paraId="5CB05D88" w14:textId="266C9A79" w:rsidR="00C64261" w:rsidRDefault="0028681E" w:rsidP="008E3F34">
      <w:pPr>
        <w:spacing w:after="120"/>
        <w:rPr>
          <w:bCs/>
        </w:rPr>
      </w:pPr>
      <w:r w:rsidRPr="0028681E">
        <w:rPr>
          <w:bCs/>
          <w:noProof/>
        </w:rPr>
        <mc:AlternateContent>
          <mc:Choice Requires="wps">
            <w:drawing>
              <wp:anchor distT="45720" distB="45720" distL="114300" distR="114300" simplePos="0" relativeHeight="251661312" behindDoc="0" locked="0" layoutInCell="1" allowOverlap="1" wp14:anchorId="2D1A620F" wp14:editId="4912161C">
                <wp:simplePos x="0" y="0"/>
                <wp:positionH relativeFrom="margin">
                  <wp:align>right</wp:align>
                </wp:positionH>
                <wp:positionV relativeFrom="paragraph">
                  <wp:posOffset>300355</wp:posOffset>
                </wp:positionV>
                <wp:extent cx="6093460" cy="789940"/>
                <wp:effectExtent l="0" t="0" r="21590" b="10160"/>
                <wp:wrapSquare wrapText="bothSides"/>
                <wp:docPr id="715739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790042"/>
                        </a:xfrm>
                        <a:prstGeom prst="rect">
                          <a:avLst/>
                        </a:prstGeom>
                        <a:solidFill>
                          <a:srgbClr val="FFFFFF"/>
                        </a:solidFill>
                        <a:ln w="9525">
                          <a:solidFill>
                            <a:srgbClr val="000000"/>
                          </a:solidFill>
                          <a:miter lim="800000"/>
                          <a:headEnd/>
                          <a:tailEnd/>
                        </a:ln>
                      </wps:spPr>
                      <wps:txbx>
                        <w:txbxContent>
                          <w:p w14:paraId="0AB1BF90" w14:textId="0AFB2C67" w:rsidR="00D852C1" w:rsidRPr="00ED478B" w:rsidRDefault="00D852C1" w:rsidP="00D852C1">
                            <w:pPr>
                              <w:rPr>
                                <w:b/>
                                <w:bCs/>
                              </w:rPr>
                            </w:pPr>
                            <w:r w:rsidRPr="00ED478B">
                              <w:rPr>
                                <w:b/>
                                <w:bCs/>
                              </w:rPr>
                              <w:t>Conclusion</w:t>
                            </w:r>
                          </w:p>
                          <w:p w14:paraId="600EA4B8" w14:textId="77777777" w:rsidR="00D852C1" w:rsidRPr="00ED478B" w:rsidRDefault="00D852C1" w:rsidP="00D852C1">
                            <w:pPr>
                              <w:rPr>
                                <w:bCs/>
                              </w:rPr>
                            </w:pPr>
                            <w:r w:rsidRPr="00ED478B">
                              <w:rPr>
                                <w:bCs/>
                              </w:rPr>
                              <w:t>For OCC time synchronization / alignment of multiplexed UEs to maintain orthogonality of the codes used for OCC, OCC group alignment is handled by network scheduling without specification impact.</w:t>
                            </w:r>
                          </w:p>
                          <w:p w14:paraId="3C22A0AA" w14:textId="5B63492D" w:rsidR="0028681E" w:rsidRDefault="002868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1A620F" id="_x0000_s1027" type="#_x0000_t202" style="position:absolute;margin-left:428.6pt;margin-top:23.65pt;width:479.8pt;height:62.2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">
                <v:textbox>
                  <w:txbxContent>
                    <w:p w14:paraId="0AB1BF90" w14:textId="0AFB2C67" w:rsidR="00D852C1" w:rsidRPr="00ED478B" w:rsidRDefault="00D852C1" w:rsidP="00D852C1">
                      <w:pPr>
                        <w:rPr>
                          <w:b/>
                          <w:bCs/>
                        </w:rPr>
                      </w:pPr>
                      <w:r w:rsidRPr="00ED478B">
                        <w:rPr>
                          <w:b/>
                          <w:bCs/>
                        </w:rPr>
                        <w:t>Conclusion</w:t>
                      </w:r>
                    </w:p>
                    <w:p w14:paraId="600EA4B8" w14:textId="77777777" w:rsidR="00D852C1" w:rsidRPr="00ED478B" w:rsidRDefault="00D852C1" w:rsidP="00D852C1">
                      <w:pPr>
                        <w:rPr>
                          <w:bCs/>
                        </w:rPr>
                      </w:pPr>
                      <w:r w:rsidRPr="00ED478B">
                        <w:rPr>
                          <w:bCs/>
                        </w:rPr>
                        <w:t>For OCC time synchronization / alignment of multiplexed UEs to maintain orthogonality of the codes used for OCC, OCC group alignment is handled by network scheduling without specification impact.</w:t>
                      </w:r>
                    </w:p>
                    <w:p w14:paraId="3C22A0AA" w14:textId="5B63492D" w:rsidR="0028681E" w:rsidRDefault="0028681E"/>
                  </w:txbxContent>
                </v:textbox>
                <w10:wrap type="square" anchorx="margin"/>
              </v:shape>
            </w:pict>
          </mc:Fallback>
        </mc:AlternateContent>
      </w:r>
      <w:r w:rsidR="00C64261">
        <w:rPr>
          <w:bCs/>
        </w:rPr>
        <w:t>Further in RAN1#</w:t>
      </w:r>
      <w:r>
        <w:rPr>
          <w:bCs/>
        </w:rPr>
        <w:t xml:space="preserve">120 it </w:t>
      </w:r>
      <w:r w:rsidR="00D66429">
        <w:rPr>
          <w:bCs/>
        </w:rPr>
        <w:t>w</w:t>
      </w:r>
      <w:r>
        <w:rPr>
          <w:bCs/>
        </w:rPr>
        <w:t>as concluded that:</w:t>
      </w:r>
    </w:p>
    <w:p w14:paraId="60912E32" w14:textId="5028D403" w:rsidR="0028681E" w:rsidRDefault="0028681E" w:rsidP="008E3F34">
      <w:pPr>
        <w:spacing w:after="120"/>
        <w:rPr>
          <w:bCs/>
        </w:rPr>
      </w:pPr>
    </w:p>
    <w:p w14:paraId="4C372E38" w14:textId="7632F7D3" w:rsidR="0028681E" w:rsidRDefault="0028681E" w:rsidP="008E3F34">
      <w:pPr>
        <w:spacing w:after="120"/>
        <w:rPr>
          <w:bCs/>
        </w:rPr>
      </w:pPr>
    </w:p>
    <w:p w14:paraId="02845B81" w14:textId="77777777" w:rsidR="0028681E" w:rsidRDefault="0028681E" w:rsidP="008E3F34">
      <w:pPr>
        <w:spacing w:after="120"/>
        <w:rPr>
          <w:bCs/>
        </w:rPr>
      </w:pPr>
    </w:p>
    <w:p w14:paraId="4BE23116" w14:textId="2A6D7150" w:rsidR="00D66429" w:rsidRDefault="00C1206E" w:rsidP="008E3F34">
      <w:pPr>
        <w:spacing w:after="120"/>
        <w:rPr>
          <w:bCs/>
        </w:rPr>
      </w:pPr>
      <w:r>
        <w:rPr>
          <w:bCs/>
        </w:rPr>
        <w:lastRenderedPageBreak/>
        <w:t xml:space="preserve">No conclusions </w:t>
      </w:r>
      <w:proofErr w:type="gramStart"/>
      <w:r>
        <w:rPr>
          <w:bCs/>
        </w:rPr>
        <w:t>was</w:t>
      </w:r>
      <w:proofErr w:type="gramEnd"/>
      <w:r>
        <w:rPr>
          <w:bCs/>
        </w:rPr>
        <w:t xml:space="preserve"> made in RAN4 yet for </w:t>
      </w:r>
      <w:r w:rsidR="002268A8">
        <w:rPr>
          <w:bCs/>
        </w:rPr>
        <w:t>inter-slot OCC with length 4, but it can be seen that RAN1 does not pursue new frequency adjustment commands and expects n</w:t>
      </w:r>
      <w:r w:rsidR="00681FAB">
        <w:rPr>
          <w:bCs/>
        </w:rPr>
        <w:t xml:space="preserve">o new frequency error requirements. Network implementation shall take care of pairing UEs with similar frequency error to minimize any negative performance impacts. </w:t>
      </w:r>
    </w:p>
    <w:p w14:paraId="304B7A63" w14:textId="653F22B5" w:rsidR="00681FAB" w:rsidRDefault="00681FAB" w:rsidP="008E3F34">
      <w:pPr>
        <w:spacing w:after="120"/>
        <w:rPr>
          <w:bCs/>
        </w:rPr>
      </w:pPr>
      <w:r>
        <w:rPr>
          <w:bCs/>
        </w:rPr>
        <w:t>Given the progress in RAN</w:t>
      </w:r>
      <w:r w:rsidR="00ED497B">
        <w:rPr>
          <w:bCs/>
        </w:rPr>
        <w:t>1</w:t>
      </w:r>
      <w:r>
        <w:rPr>
          <w:bCs/>
        </w:rPr>
        <w:t>, it is pro</w:t>
      </w:r>
      <w:r w:rsidR="00ED497B">
        <w:rPr>
          <w:bCs/>
        </w:rPr>
        <w:t>posed that there is no specification impact in RAN4 UE RF from NR NTN UL capacity enhancements work</w:t>
      </w:r>
      <w:r w:rsidR="00D66429">
        <w:rPr>
          <w:bCs/>
        </w:rPr>
        <w:t>, unless there is a RAN1 request</w:t>
      </w:r>
      <w:r w:rsidR="00ED497B">
        <w:rPr>
          <w:bCs/>
        </w:rPr>
        <w:t>.</w:t>
      </w:r>
    </w:p>
    <w:p w14:paraId="3A323FC8" w14:textId="27620D19" w:rsidR="00ED497B" w:rsidRDefault="00ED497B" w:rsidP="008E3F34">
      <w:pPr>
        <w:spacing w:after="120"/>
        <w:rPr>
          <w:b/>
        </w:rPr>
      </w:pPr>
      <w:r w:rsidRPr="00ED497B">
        <w:rPr>
          <w:b/>
        </w:rPr>
        <w:t>Observation 1:</w:t>
      </w:r>
      <w:r>
        <w:rPr>
          <w:b/>
        </w:rPr>
        <w:t xml:space="preserve"> RAN1 has scoped down the supported OCC schemes and </w:t>
      </w:r>
      <w:r w:rsidR="00EF5459">
        <w:rPr>
          <w:b/>
        </w:rPr>
        <w:t>formally agreed that they do not expect new frequency error requirements to be defined in RAN4.</w:t>
      </w:r>
    </w:p>
    <w:p w14:paraId="2AAEB82D" w14:textId="53C65571" w:rsidR="00FC0E19" w:rsidRDefault="00BF40A6" w:rsidP="008E3F34">
      <w:pPr>
        <w:spacing w:after="120"/>
        <w:rPr>
          <w:bCs/>
        </w:rPr>
      </w:pPr>
      <w:r w:rsidRPr="00BF40A6">
        <w:rPr>
          <w:bCs/>
        </w:rPr>
        <w:t xml:space="preserve">Since these agreements </w:t>
      </w:r>
      <w:r w:rsidR="00976C7A">
        <w:rPr>
          <w:bCs/>
        </w:rPr>
        <w:t xml:space="preserve">at least one </w:t>
      </w:r>
      <w:r w:rsidR="000E7B73">
        <w:rPr>
          <w:bCs/>
        </w:rPr>
        <w:t xml:space="preserve">new </w:t>
      </w:r>
      <w:r w:rsidR="00976C7A">
        <w:rPr>
          <w:bCs/>
        </w:rPr>
        <w:t>discussion in RAN</w:t>
      </w:r>
      <w:r w:rsidR="000E7B73">
        <w:rPr>
          <w:bCs/>
        </w:rPr>
        <w:t xml:space="preserve">1 is a potential UE capability on </w:t>
      </w:r>
      <w:r w:rsidR="00841B48">
        <w:rPr>
          <w:bCs/>
        </w:rPr>
        <w:t xml:space="preserve">coherent transmission duration. </w:t>
      </w:r>
      <w:r w:rsidR="0052622D">
        <w:rPr>
          <w:bCs/>
        </w:rPr>
        <w:t xml:space="preserve">When network has this information, it can co-schedule UEs in the OCC for the duration for which coherency is maintained. This </w:t>
      </w:r>
      <w:r w:rsidR="005D5B04">
        <w:rPr>
          <w:bCs/>
        </w:rPr>
        <w:t>further justifies that approach that network is responsible for</w:t>
      </w:r>
      <w:r w:rsidR="004D7685">
        <w:rPr>
          <w:bCs/>
        </w:rPr>
        <w:t xml:space="preserve"> correct usage of OCC and grouping UEs, and no new UE RF requirements are needed.</w:t>
      </w:r>
    </w:p>
    <w:p w14:paraId="1E1B0744" w14:textId="1CE320A4" w:rsidR="00124BA1" w:rsidRPr="00124BA1" w:rsidRDefault="00124BA1" w:rsidP="008E3F34">
      <w:pPr>
        <w:spacing w:after="120"/>
        <w:rPr>
          <w:b/>
        </w:rPr>
      </w:pPr>
      <w:r w:rsidRPr="00124BA1">
        <w:rPr>
          <w:b/>
        </w:rPr>
        <w:t>Observation 2:</w:t>
      </w:r>
      <w:r>
        <w:rPr>
          <w:b/>
        </w:rPr>
        <w:t xml:space="preserve"> UE capability is being considered to inform network of the duration in which UE </w:t>
      </w:r>
      <w:proofErr w:type="gramStart"/>
      <w:r>
        <w:rPr>
          <w:b/>
        </w:rPr>
        <w:t>is able to</w:t>
      </w:r>
      <w:proofErr w:type="gramEnd"/>
      <w:r>
        <w:rPr>
          <w:b/>
        </w:rPr>
        <w:t xml:space="preserve"> maintain coherent transmission.</w:t>
      </w:r>
    </w:p>
    <w:p w14:paraId="346868A6" w14:textId="7B18158C" w:rsidR="006C5812" w:rsidRPr="00DA24DF" w:rsidRDefault="00841B48" w:rsidP="008E3F34">
      <w:pPr>
        <w:spacing w:after="120"/>
        <w:rPr>
          <w:b/>
        </w:rPr>
      </w:pPr>
      <w:r>
        <w:rPr>
          <w:b/>
        </w:rPr>
        <w:t>Proposal 1: There is no RAN4 UE RF specification impact from NR NTN UL capacity enhancements and further discussion on UL capacity enhancements is not needed.</w:t>
      </w:r>
    </w:p>
    <w:p w14:paraId="2899C6FE" w14:textId="135874A2" w:rsidR="00402783" w:rsidRPr="008E3F34" w:rsidRDefault="00402783"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797EBF1"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7D63A8">
        <w:rPr>
          <w:lang w:eastAsia="ja-JP"/>
        </w:rPr>
        <w:t>NR NTN UL capacity enhancements were discussed and following observation and proposal was made:</w:t>
      </w:r>
    </w:p>
    <w:p w14:paraId="28DB44EE" w14:textId="77777777" w:rsidR="007D63A8" w:rsidRDefault="007D63A8" w:rsidP="007D63A8">
      <w:pPr>
        <w:spacing w:after="120"/>
        <w:rPr>
          <w:b/>
        </w:rPr>
      </w:pPr>
      <w:r w:rsidRPr="00ED497B">
        <w:rPr>
          <w:b/>
        </w:rPr>
        <w:t>Observation 1:</w:t>
      </w:r>
      <w:r>
        <w:rPr>
          <w:b/>
        </w:rPr>
        <w:t xml:space="preserve"> RAN1 has scoped down the supported OCC schemes and formally agreed that they do not expect new frequency error requirements to be defined in RAN4.</w:t>
      </w:r>
    </w:p>
    <w:p w14:paraId="5B3045DA" w14:textId="64428A11" w:rsidR="00124BA1" w:rsidRDefault="00124BA1" w:rsidP="007D63A8">
      <w:pPr>
        <w:spacing w:after="120"/>
        <w:rPr>
          <w:b/>
        </w:rPr>
      </w:pPr>
      <w:r w:rsidRPr="00124BA1">
        <w:rPr>
          <w:b/>
        </w:rPr>
        <w:t>Observation 2:</w:t>
      </w:r>
      <w:r>
        <w:rPr>
          <w:b/>
        </w:rPr>
        <w:t xml:space="preserve"> UE capability is being considered to inform network of the duration in which UE </w:t>
      </w:r>
      <w:proofErr w:type="gramStart"/>
      <w:r>
        <w:rPr>
          <w:b/>
        </w:rPr>
        <w:t>is able to</w:t>
      </w:r>
      <w:proofErr w:type="gramEnd"/>
      <w:r>
        <w:rPr>
          <w:b/>
        </w:rPr>
        <w:t xml:space="preserve"> maintain coherent transmission.</w:t>
      </w:r>
    </w:p>
    <w:p w14:paraId="7EF02C4F" w14:textId="77777777" w:rsidR="007D63A8" w:rsidRPr="00ED497B" w:rsidRDefault="007D63A8" w:rsidP="007D63A8">
      <w:pPr>
        <w:spacing w:after="120"/>
        <w:rPr>
          <w:b/>
        </w:rPr>
      </w:pPr>
      <w:r>
        <w:rPr>
          <w:b/>
        </w:rPr>
        <w:t>Proposal 1: There is no RAN4 UE RF specification impact from NR NTN UL capacity enhancements and further discussion on UL capacity enhancements is not needed.</w:t>
      </w: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sectPr w:rsidR="009F7793"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45561" w14:textId="77777777" w:rsidR="007C3793" w:rsidRDefault="007C3793">
      <w:r>
        <w:separator/>
      </w:r>
    </w:p>
  </w:endnote>
  <w:endnote w:type="continuationSeparator" w:id="0">
    <w:p w14:paraId="7BDD68E3" w14:textId="77777777" w:rsidR="007C3793" w:rsidRDefault="007C3793">
      <w:r>
        <w:continuationSeparator/>
      </w:r>
    </w:p>
  </w:endnote>
  <w:endnote w:type="continuationNotice" w:id="1">
    <w:p w14:paraId="439717B2" w14:textId="77777777" w:rsidR="007C3793" w:rsidRDefault="007C3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3E51" w14:textId="77777777" w:rsidR="007C3793" w:rsidRDefault="007C3793">
      <w:r>
        <w:separator/>
      </w:r>
    </w:p>
  </w:footnote>
  <w:footnote w:type="continuationSeparator" w:id="0">
    <w:p w14:paraId="20493B0F" w14:textId="77777777" w:rsidR="007C3793" w:rsidRDefault="007C3793">
      <w:r>
        <w:continuationSeparator/>
      </w:r>
    </w:p>
  </w:footnote>
  <w:footnote w:type="continuationNotice" w:id="1">
    <w:p w14:paraId="18D1B92A" w14:textId="77777777" w:rsidR="007C3793" w:rsidRDefault="007C37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6"/>
  </w:num>
  <w:num w:numId="2" w16cid:durableId="1813211327">
    <w:abstractNumId w:val="9"/>
  </w:num>
  <w:num w:numId="3" w16cid:durableId="56514189">
    <w:abstractNumId w:val="3"/>
  </w:num>
  <w:num w:numId="4" w16cid:durableId="343019769">
    <w:abstractNumId w:val="8"/>
  </w:num>
  <w:num w:numId="5" w16cid:durableId="1274551697">
    <w:abstractNumId w:val="17"/>
  </w:num>
  <w:num w:numId="6" w16cid:durableId="747773055">
    <w:abstractNumId w:val="18"/>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5"/>
  </w:num>
  <w:num w:numId="18" w16cid:durableId="665792756">
    <w:abstractNumId w:val="6"/>
  </w:num>
  <w:num w:numId="19" w16cid:durableId="34984423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77FDE"/>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B73"/>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4BA1"/>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19D"/>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6938"/>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1E"/>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2E9"/>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85"/>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22D"/>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899"/>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B04"/>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66A3"/>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08B"/>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6DE"/>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1C4"/>
    <w:rsid w:val="006C033C"/>
    <w:rsid w:val="006C0E17"/>
    <w:rsid w:val="006C0E81"/>
    <w:rsid w:val="006C1C0D"/>
    <w:rsid w:val="006C23BA"/>
    <w:rsid w:val="006C295D"/>
    <w:rsid w:val="006C30DD"/>
    <w:rsid w:val="006C32EE"/>
    <w:rsid w:val="006C3421"/>
    <w:rsid w:val="006C57F8"/>
    <w:rsid w:val="006C5812"/>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58F7"/>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793"/>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B48"/>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5AB4"/>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6C7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08FB"/>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01"/>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2595"/>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0A6"/>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261"/>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6429"/>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52C1"/>
    <w:rsid w:val="00D86E0D"/>
    <w:rsid w:val="00D87085"/>
    <w:rsid w:val="00D87784"/>
    <w:rsid w:val="00D87998"/>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24DF"/>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E25"/>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6826"/>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422</Words>
  <Characters>2237</Characters>
  <Application>Microsoft Office Word</Application>
  <DocSecurity>0</DocSecurity>
  <Lines>18</Lines>
  <Paragraphs>5</Paragraphs>
  <ScaleCrop>false</ScaleCrop>
  <Company>NEC Group</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40</cp:revision>
  <cp:lastPrinted>2012-09-28T09:55:00Z</cp:lastPrinted>
  <dcterms:created xsi:type="dcterms:W3CDTF">2025-02-02T10:33:00Z</dcterms:created>
  <dcterms:modified xsi:type="dcterms:W3CDTF">2025-03-28T19:09:00Z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